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82"/>
        <w:gridCol w:w="2552"/>
      </w:tblGrid>
      <w:tr w14:paraId="0228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78AE59">
            <w:pPr>
              <w:jc w:val="center"/>
              <w:rPr>
                <w:rFonts w:ascii="华文中宋" w:hAnsi="华文中宋" w:eastAsia="华文中宋" w:cs="华文中宋"/>
                <w:bCs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6"/>
                <w:szCs w:val="36"/>
              </w:rPr>
              <w:t>综合素质测评模块加分细则</w:t>
            </w:r>
          </w:p>
          <w:p w14:paraId="15A7EB54">
            <w:pPr>
              <w:jc w:val="right"/>
              <w:rPr>
                <w:rFonts w:ascii="华文宋体" w:hAnsi="华文宋体" w:eastAsia="华文宋体" w:cs="华文宋体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仅用于电子工程学院2</w:t>
            </w:r>
            <w:r>
              <w:rPr>
                <w:rFonts w:ascii="华文中宋" w:hAnsi="华文中宋" w:eastAsia="华文中宋" w:cs="华文中宋"/>
                <w:bCs/>
                <w:sz w:val="28"/>
                <w:szCs w:val="28"/>
              </w:rPr>
              <w:t>02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级卓越班第一次分流</w:t>
            </w:r>
          </w:p>
        </w:tc>
      </w:tr>
      <w:tr w14:paraId="3EA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4E65E28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01F8B98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4491DDA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3CF5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 w14:paraId="05BDD6A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 w14:paraId="63615E3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 w14:paraId="44AF307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优秀学生奖励：同年度附加分不累计，取最高分</w:t>
            </w:r>
          </w:p>
        </w:tc>
      </w:tr>
      <w:tr w14:paraId="4EE8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2EFBDC7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D4D2EB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 w:val="continue"/>
          </w:tcPr>
          <w:p w14:paraId="6A57E5A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699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10D0414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4AB73A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 w:val="continue"/>
          </w:tcPr>
          <w:p w14:paraId="5E481276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4A1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1AC4D16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74C1F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 w:val="continue"/>
          </w:tcPr>
          <w:p w14:paraId="0929689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2B9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4F35C70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A6B176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 w:val="continue"/>
          </w:tcPr>
          <w:p w14:paraId="4C25E13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C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5224032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29EFC7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 w:val="continue"/>
          </w:tcPr>
          <w:p w14:paraId="16C69CA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4F8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772B6146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DC5E44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 w:val="continue"/>
          </w:tcPr>
          <w:p w14:paraId="520EB80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730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73CBB77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0E4C26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 w:val="continue"/>
          </w:tcPr>
          <w:p w14:paraId="564E413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99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645EDE4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245D05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 w:val="continue"/>
          </w:tcPr>
          <w:p w14:paraId="0CA3087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EAC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2270B55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D7862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 w:val="continue"/>
          </w:tcPr>
          <w:p w14:paraId="6568CBD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EA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34552A7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705BF2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 w:val="continue"/>
          </w:tcPr>
          <w:p w14:paraId="09BA13C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F8C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8" w:type="dxa"/>
            <w:vMerge w:val="continue"/>
            <w:shd w:val="clear" w:color="auto" w:fill="9CC2E5" w:themeFill="accent5" w:themeFillTint="99"/>
          </w:tcPr>
          <w:p w14:paraId="0372D77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A8D869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 w:val="continue"/>
          </w:tcPr>
          <w:p w14:paraId="1E0490C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5B9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14:paraId="28015C3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 w14:paraId="67DB987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FA3943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队合作类竞赛（电赛、数模除外），按照证书上排名乘以相应系数进行加分，一作*1，二作*0.8，三作*0.6，四作*0.4，五作*0.2，其余*0.1（例，省级互联网+金奖，一作5*1分，二作5*0.8分，以此类推，校级互联网+只加前五作）。对于学校认定为突出特长的奖项，认定人数为N，前N人加分系数为1，从第N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+1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人按照系数递减进行加分。（例：互联网+全国银奖1、2、3作由学校认定为突出特长奖分别加8*1分，4作加8*0.8分，以此类推）。</w:t>
            </w:r>
          </w:p>
        </w:tc>
      </w:tr>
      <w:bookmarkEnd w:id="0"/>
      <w:tr w14:paraId="5EB7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D69B82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745DE6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34CA056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27A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2A5E7D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1BFD02C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5378ABD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DEE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F80AC9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316E20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30A4526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7C1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166793F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66DB4B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712E472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A5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A84F84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1E1DAA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26CA45F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0CC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248217F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8A5B06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5AD20CF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74C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0597C4A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2F1E39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3AFCCC7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1E1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72AE87C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4DEFD5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73B7DC1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E79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66DDB00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8A6A33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6CDE801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8AD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1034541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098B560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351882B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861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 w14:paraId="3BE63D9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04ECDD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7BB008D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B56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FFE599" w:themeFill="accent4" w:themeFillTint="66"/>
          </w:tcPr>
          <w:p w14:paraId="0134CAE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AB44EB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 w:val="continue"/>
            <w:shd w:val="clear" w:color="auto" w:fill="auto"/>
          </w:tcPr>
          <w:p w14:paraId="2469FE3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D27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  <w:vMerge w:val="continue"/>
            <w:shd w:val="clear" w:color="auto" w:fill="FFE599" w:themeFill="accent4" w:themeFillTint="66"/>
          </w:tcPr>
          <w:p w14:paraId="0E33567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6515787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 w14:paraId="2942F70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8D5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 w14:paraId="024E10B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 w14:paraId="4EBEEF1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 w14:paraId="0428B89D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5AAC9E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学生与直系亲属或学历、职称、职务明显高于本人者（除指导教师1人之外）合作的科研成果、竞赛奖项等仅作为参考，不纳入学生本人推免综合素质能力评定的指标体系，同等条件下可优先考虑</w:t>
            </w:r>
          </w:p>
        </w:tc>
      </w:tr>
      <w:tr w14:paraId="4E7F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1ADF91D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160806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 w:val="continue"/>
          </w:tcPr>
          <w:p w14:paraId="342CC43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6C5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60F9402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D641A1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 w:val="continue"/>
          </w:tcPr>
          <w:p w14:paraId="4804680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EBB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C5E0B3" w:themeFill="accent6" w:themeFillTint="66"/>
          </w:tcPr>
          <w:p w14:paraId="6437E1B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BE480F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 w:val="continue"/>
          </w:tcPr>
          <w:p w14:paraId="73579EE6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9B1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371B096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8EF977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 w:val="continue"/>
          </w:tcPr>
          <w:p w14:paraId="493D469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2F7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7A34E5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2C66E9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 w:val="continue"/>
          </w:tcPr>
          <w:p w14:paraId="404B623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107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0851FC0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36A4C1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 w:val="continue"/>
          </w:tcPr>
          <w:p w14:paraId="463ACD3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4BB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C9B018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A0D810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 w:val="continue"/>
          </w:tcPr>
          <w:p w14:paraId="2F427C7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69C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F70359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AB53E2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 w:val="continue"/>
          </w:tcPr>
          <w:p w14:paraId="0DD3825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AF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526E77D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883AD3A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 w:val="continue"/>
          </w:tcPr>
          <w:p w14:paraId="1F55D77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346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08A18D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02017A8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 w:val="continue"/>
          </w:tcPr>
          <w:p w14:paraId="22F81305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70C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88" w:type="dxa"/>
            <w:shd w:val="clear" w:color="auto" w:fill="ADB9CA" w:themeFill="text2" w:themeFillTint="66"/>
            <w:vAlign w:val="center"/>
          </w:tcPr>
          <w:p w14:paraId="2A102D2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 w14:paraId="5312DE5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参军入伍学生直接加2分,不参与归一化</w:t>
            </w:r>
          </w:p>
        </w:tc>
      </w:tr>
      <w:tr w14:paraId="2E8D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FFD965" w:themeFill="accent4" w:themeFillTint="99"/>
            <w:vAlign w:val="center"/>
          </w:tcPr>
          <w:p w14:paraId="76F4263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 w14:paraId="28B5897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 w14:paraId="588A7D20">
      <w:pPr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备注：</w:t>
      </w:r>
    </w:p>
    <w:p w14:paraId="1BF70430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以上奖项已在学校认定为“突出特长”的不在学院重复加分；</w:t>
      </w:r>
    </w:p>
    <w:p w14:paraId="0DB51495">
      <w:pPr>
        <w:pStyle w:val="15"/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对于学科竞赛奖励，同一项目多次获奖的，附加分仅取最高分。例如：数学建模竞赛同一周期内校赛-国赛-美赛取最高，不重复计算；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电子设计竞赛</w:t>
      </w:r>
      <w:r>
        <w:rPr>
          <w:rFonts w:hint="eastAsia" w:ascii="仿宋" w:hAnsi="仿宋" w:eastAsia="仿宋" w:cs="仿宋"/>
          <w:bCs/>
          <w:sz w:val="24"/>
          <w:szCs w:val="24"/>
        </w:rPr>
        <w:t>；同年的高等数学竞赛和数学竞赛取其高分；相似项目参加不同竞赛，差异性和创新性内容应在30%以上。</w:t>
      </w:r>
    </w:p>
    <w:p w14:paraId="1380DC97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学科竞赛包括星火杯竞赛、西安电子科技大学学科竞赛一览表中包含的竞赛，其中序号9（其它）中所有竞赛在加分计算中统一降档处理（国家级奖项按省部级加分，省部级按校级加分）。</w:t>
      </w:r>
    </w:p>
    <w:p w14:paraId="1392838F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4.附加分项目及支撑材料由申请者在提交申请时提供，不提供者视为放弃。附加分最高为15分；如果最高附加分超过15分，则以15分计，其余分数等比例折算。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12385"/>
    <w:multiLevelType w:val="singleLevel"/>
    <w:tmpl w:val="5FC12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444511"/>
    <w:rsid w:val="00153B3D"/>
    <w:rsid w:val="0017313C"/>
    <w:rsid w:val="001971EF"/>
    <w:rsid w:val="00274E1C"/>
    <w:rsid w:val="002B6ED9"/>
    <w:rsid w:val="003226E1"/>
    <w:rsid w:val="003361AB"/>
    <w:rsid w:val="00365473"/>
    <w:rsid w:val="003D39B6"/>
    <w:rsid w:val="003E4C77"/>
    <w:rsid w:val="00444511"/>
    <w:rsid w:val="00513BF8"/>
    <w:rsid w:val="00567147"/>
    <w:rsid w:val="005C1E95"/>
    <w:rsid w:val="005F04C0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973D7B"/>
    <w:rsid w:val="009B4CA5"/>
    <w:rsid w:val="00A33074"/>
    <w:rsid w:val="00A531F9"/>
    <w:rsid w:val="00AD55BC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936AF"/>
    <w:rsid w:val="17FD6ACD"/>
    <w:rsid w:val="24D42836"/>
    <w:rsid w:val="279B19EC"/>
    <w:rsid w:val="27D67ACC"/>
    <w:rsid w:val="28D14723"/>
    <w:rsid w:val="44CD5E7C"/>
    <w:rsid w:val="4AF42CF5"/>
    <w:rsid w:val="549F196C"/>
    <w:rsid w:val="674A1F08"/>
    <w:rsid w:val="6C3379D8"/>
    <w:rsid w:val="779C230C"/>
    <w:rsid w:val="793B6A0C"/>
    <w:rsid w:val="7DC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1509</Characters>
  <Lines>12</Lines>
  <Paragraphs>3</Paragraphs>
  <TotalTime>181</TotalTime>
  <ScaleCrop>false</ScaleCrop>
  <LinksUpToDate>false</LinksUpToDate>
  <CharactersWithSpaces>1573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2021-12-14T06:44:00Z</dcterms:created>
  <dc:creator>lenovo</dc:creator>
  <cp:lastModifiedBy>lyy</cp:lastModifiedBy>
  <cp:lastPrinted>2023-04-10T01:22:00Z</cp:lastPrinted>
  <dcterms:modified xsi:type="dcterms:W3CDTF">2025-06-08T15:14:59Z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0983CB60005E4D8E84659A065B8A9B53</vt:lpwstr>
  </property>
  <property fmtid="{D5CDD505-2E9C-101B-9397-08002B2CF9AE}" pid="4" name="KSOTemplateDocerSaveRecord">
    <vt:lpwstr>eyJoZGlkIjoiYjYwZDkyNDA0MzBkNzUyNjJmNDZkNzViMjU2ZGE5MjQiLCJ1c2VySWQiOiI2OTg3ODM2NjEifQ==</vt:lpwstr>
  </property>
</Properties>
</file>